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u w:val="single"/>
          <w:rtl w:val="0"/>
        </w:rPr>
        <w:t xml:space="preserve">Predicting Human Decision Making: Tools of the Trade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highlight w:val="white"/>
          <w:rtl w:val="0"/>
        </w:rPr>
        <w:t xml:space="preserve">(AAAI-17 Tutorial by Ariel Rosenfeld and Sarit Kraus).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highlight w:val="white"/>
          <w:rtl w:val="0"/>
        </w:rPr>
        <w:t xml:space="preserve">Tutorial web-page: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https://sites.google.com/view/predicting-human-dm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Below is a (partial) list of papers we referred to in our tutorial. If you think other papers should be added to the list (in order to help others in the future) - please let us know.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Ariel </w:t>
      </w:r>
      <w:hyperlink r:id="rId6">
        <w:r w:rsidDel="00000000" w:rsidR="00000000" w:rsidRPr="00000000">
          <w:rPr>
            <w:color w:val="1155cc"/>
            <w:sz w:val="36"/>
            <w:szCs w:val="36"/>
            <w:highlight w:val="white"/>
            <w:u w:val="single"/>
            <w:rtl w:val="0"/>
          </w:rPr>
          <w:t xml:space="preserve">arielros1@gmail.com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What drives people's DM?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Abraham, C., &amp; Sheeran, P. (2003). Acting on intentions: The role of anticipated regret. British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Journal of Social Psychology, 42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, 495-511.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Acevedo, M., &amp; Krueger, JI. (2004). Two egocentric sources of the decision to vote: The voter’s illusion and the belief in personal relevance.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Political Psychology, 25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(1), 115-134. DOI: 10.1111/j.1467-9221.2004.00359.x.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Botti, S., &amp; Iyengar, S.S. (2004). The psychological pleasure and pain of choosing: When people prefer choosing at the cost of subsequent outcome satisfaction.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Journal of Personality and Social Psychology, 87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(3), 312-326. DOI: 10.1037/0022-3514.87.3.312.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de Bruin, W.B., Parker, A.M., &amp; Fischhoff, B. (2007). Individual differences in adult decision-making competence.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Journal of Personality and Social Psychology, 92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(5), 938-956. DOI: 10.1037/0022-3514.92.5.938.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Epley, N., &amp; Gilovich, T. (2006). The anchoring-and-adjustment heuristic.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Psychological Science, 17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(4), 311-318. DOI: 10.1111/j.1467-9280.2006.01704.x.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Evans, J.ST., Barston, J.L., &amp; Pollard, P. (1983). On the </w:t>
      </w:r>
      <w:hyperlink r:id="rId7">
        <w:r w:rsidDel="00000000" w:rsidR="00000000" w:rsidRPr="00000000">
          <w:rPr>
            <w:color w:val="000066"/>
            <w:sz w:val="21"/>
            <w:szCs w:val="21"/>
            <w:highlight w:val="white"/>
            <w:rtl w:val="0"/>
          </w:rPr>
          <w:t xml:space="preserve">conflict</w:t>
        </w:r>
      </w:hyperlink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 between logic and belief in syllogistic reasoning.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Memory &amp; Cognition, 11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(3), 295-306.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Finucane, M.L., Mertz, C.K., Slovic, P. &amp; Schmidt, E.S. (2005). Task complexity and older adults’ decision-making competence.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Psychology and Aging, 20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(1), 71-84. DOI: 10.1037/0882-7974.20.1.71.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Gilbert, D.T., &amp; Ebert, J.E.J. (2002). Decisions and revisions: The affective forecasting of changeable outcomes.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Journal of Personality and Social Psychology, 82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(4), 503-514. DOI: 10.1037/0022-3514.82.4.503.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Goldstein, D.G., &amp; Gigerenzer, G. (2002). Models of ecological rationality: The recognition heuristic.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Psychological Review, 109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(1), 75-90. DOI: 10.1037/0033-295X.109.1.75.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Hilbig, B.E., &amp; Pohl, R.F. (2008). Recognition users of the recognition heuristic.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Experimental Psychology, 55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(6), 394-401. DOI: 10.1027/1618-3169.55.6.394.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Jullisson, E.A., Karlsson, N., Garling, T. (2005). Weighing the past and the future in decision making.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European Journal of Cognitive Psychology, 17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(4), 561-575. DOI: 10.1080/09541440440000159.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Kim, S., Healy, K., Goldstein, D., Hasher, L., &amp; Wiprzycka, U.J. (2008). Age differences in choice satisfaction: A positivity effect in decision making.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Psychology and Aging, 23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(1), 33-38. DOI: 10.1037/0882-7974.23.1.33.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Krantz, D.H., &amp; Kunreuther, H.C. (2007). Goals and plans in decision making.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Judgment and Decision Making, 2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(3), 137-168.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Marsh, D.M., &amp; Hanlon, T.J. (2007). Seeing what we want to see: Confirmation biases in animal behavior research.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Ethology, 113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(11), 1089-1098. DOI: 10.1111/j.1439-0310.2007.01406.x.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McKelvie, S.J. (2000). Quantifying the availability heuristic with famous names.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North American Journal of Psychology, 2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(2), 347-357.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Nestler, S. &amp; von Collani, G. (2008). Hindsight bias, conjunctive explanations and causal attribution.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Social Cognition, 26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(4), 482-493.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Nokes, J.D., Dole, J.A., &amp; Hacker, D.J. (2007). Teaching high school students to use heuristics while reading historical texts.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Journal of Educational Psychology, 99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(3), 492-504. DOI: 10.1037/0022-0663.99.3.492.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Pachur, T, &amp; Hertwig, R. (2006). On the psychology of the recognition heuristic: Retrieval primacy as a key determinant of its use.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Journal of Experimental Psychology, Learning, Memory, and Cognition, 32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(5), 983-1002. DOI: 10.1037/0278-7393.32.5.983.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Redelmeier, D.A. (2005). The cognitive psychology of missed diagnosis.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Annals of Internal Medicine, 142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(2), 115-120.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Reed, A.E., Mikels, J.A., &amp; Simon, K.I. (2008). Older adults prefer less choice than young adults. Psychology and Aging, 23(3), 671-675. DOI: 10.1037/a0012772.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Sagi, A., &amp; Friedland, N. (2007). The cost of richness: The effect of the size and diversity of decision sets on post-decision regret.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Journal of Personality and Social Psychology, 93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(4), 515-524. DOI: 10.1037/0022-3514.93.4.515.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Shah, A.K., &amp; Oppenheimer, D.M. (2008). Heuristics made easy: An effort-reduction framework.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Psychological Bulletin, 134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(2), 207-222. DOI: 1.1037/0033-2909.134.2.207.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Stanovich, K.E., &amp; West, R.F. (2008). On the relative independence of thinking biases and cognitive ability.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Journal of Personality and Social Psychology, 94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(4), 672-695. DOI: 10.1037/0022-3514.94.4.672.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West, R.F., Toplak, M.E., &amp; Stanovich, K.E. (2008). Heuristics and biases as measures of critical thinking: Associations with cognitive ability and thinking dispositions.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Journal of Educational Psychology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100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(4), 930-941. DOI: 10.1037/a0012842.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Wester, S.R., Christianson, H.F., Fouad, N.A., Santiago-Rivera, A.L. (2008). Information processing as problem solving: A collaborative approach to dealing with students exhibiting insufficient competence.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Training and </w:t>
      </w:r>
      <w:hyperlink r:id="rId8">
        <w:r w:rsidDel="00000000" w:rsidR="00000000" w:rsidRPr="00000000">
          <w:rPr>
            <w:i w:val="1"/>
            <w:color w:val="000066"/>
            <w:sz w:val="21"/>
            <w:szCs w:val="21"/>
            <w:highlight w:val="white"/>
            <w:rtl w:val="0"/>
          </w:rPr>
          <w:t xml:space="preserve">Education</w:t>
        </w:r>
      </w:hyperlink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 in Professional Psychology, 2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(4), 193-201. DOI: 10.1037/1931-3918.2.4.193.</w:t>
      </w:r>
    </w:p>
    <w:p w:rsidR="00000000" w:rsidDel="00000000" w:rsidP="00000000" w:rsidRDefault="00000000" w:rsidRPr="00000000">
      <w:pPr>
        <w:spacing w:after="380" w:lineRule="auto"/>
        <w:contextualSpacing w:val="0"/>
      </w:pP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Wood, S.L. (2001). Remote purchase environments: The influence of return policy leniency on two-stage decision process. </w:t>
      </w:r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Journal of </w:t>
      </w:r>
      <w:hyperlink r:id="rId9">
        <w:r w:rsidDel="00000000" w:rsidR="00000000" w:rsidRPr="00000000">
          <w:rPr>
            <w:i w:val="1"/>
            <w:color w:val="000066"/>
            <w:sz w:val="21"/>
            <w:szCs w:val="21"/>
            <w:highlight w:val="white"/>
            <w:rtl w:val="0"/>
          </w:rPr>
          <w:t xml:space="preserve">Marketing</w:t>
        </w:r>
      </w:hyperlink>
      <w:r w:rsidDel="00000000" w:rsidR="00000000" w:rsidRPr="00000000">
        <w:rPr>
          <w:i w:val="1"/>
          <w:color w:val="212121"/>
          <w:sz w:val="21"/>
          <w:szCs w:val="21"/>
          <w:highlight w:val="white"/>
          <w:rtl w:val="0"/>
        </w:rPr>
        <w:t xml:space="preserve"> Research, 38</w:t>
      </w:r>
      <w:r w:rsidDel="00000000" w:rsidR="00000000" w:rsidRPr="00000000">
        <w:rPr>
          <w:color w:val="212121"/>
          <w:sz w:val="21"/>
          <w:szCs w:val="21"/>
          <w:highlight w:val="white"/>
          <w:rtl w:val="0"/>
        </w:rPr>
        <w:t xml:space="preserve">(2), 157-169.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Santos, L. R., &amp; Rosati, A. G. (2015). The evolutionary roots of human decision making.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Annual review of psychology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66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321.‏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General Examples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12121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80" w:lineRule="auto"/>
        <w:ind w:right="240" w:hanging="360"/>
        <w:contextualSpacing w:val="0"/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14"/>
          <w:szCs w:val="14"/>
          <w:highlight w:val="white"/>
          <w:rtl w:val="0"/>
        </w:rPr>
        <w:t xml:space="preserve">      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212121"/>
            <w:sz w:val="14"/>
            <w:szCs w:val="14"/>
            <w:highlight w:val="white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Anticipating Human Activities using Object Affordances for Reactive Robotic Response, Hema S Koppula, Ashutosh Saxena. Robotics: Science and Systems (RSS), 2013. (Open access)</w:t>
        </w:r>
      </w:hyperlink>
    </w:p>
    <w:p w:rsidR="00000000" w:rsidDel="00000000" w:rsidP="00000000" w:rsidRDefault="00000000" w:rsidRPr="00000000">
      <w:pPr>
        <w:spacing w:after="80" w:lineRule="auto"/>
        <w:ind w:right="240" w:hanging="360"/>
        <w:contextualSpacing w:val="0"/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14"/>
          <w:szCs w:val="14"/>
          <w:highlight w:val="white"/>
          <w:rtl w:val="0"/>
        </w:rPr>
        <w:t xml:space="preserve">       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212121"/>
            <w:sz w:val="14"/>
            <w:szCs w:val="14"/>
            <w:highlight w:val="white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Learning Spatio-Temporal Structure from RGB-D Videos for Human Activity Detection and Anticipation, Hema S Koppula, Ashutosh Saxena. International Conference on Machine Learning (ICML), 2013. (Open access)</w:t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14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http://www.techrepublic.com/article/ai-just-beat-the-worlds-4-best-poker-players-what-it-means/</w:t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Shani, Guy, David Heckerman, and Ronen I. Brafman. "An MDP-based recommender system."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Journal of Machine Learning Research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6.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Sep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(2005): 1265-1295.‏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Revell, Timothy. "AI takes on top poker players." (2017):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Cook, Diane J. "How smart is your home?."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Science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335.6076 (2012): 1579-1581.‏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Game Theory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Game Theory </w:t>
      </w:r>
      <w:r w:rsidDel="00000000" w:rsidR="00000000" w:rsidRPr="00000000">
        <w:rPr>
          <w:rtl w:val="0"/>
        </w:rPr>
        <w:t xml:space="preserve">by Michael Maschler, Eilon Solan, and Shmuel Zamir. Cambridge UP, 2013.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 Course in Game Theory </w:t>
      </w:r>
      <w:r w:rsidDel="00000000" w:rsidR="00000000" w:rsidRPr="00000000">
        <w:rPr>
          <w:rtl w:val="0"/>
        </w:rPr>
        <w:t xml:space="preserve">by Martin J. Osborne and Ariel Rubinstein. MIT Press, 1994.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Available free (legally!) from: http://tinyurl.com/gtbook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Game Theory – A Very Short Introduction </w:t>
      </w:r>
      <w:r w:rsidDel="00000000" w:rsidR="00000000" w:rsidRPr="00000000">
        <w:rPr>
          <w:rtl w:val="0"/>
        </w:rPr>
        <w:t xml:space="preserve">by Ken Binmore. Oxford UP, 2007.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(A useful companion for bedtime reading. Full of razor sharp opinions and insight from a master of the art.)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Decision Theory and Rationality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666666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666666"/>
          <w:highlight w:val="white"/>
          <w:rtl w:val="0"/>
        </w:rPr>
        <w:t xml:space="preserve">Gilboa, I., </w:t>
      </w:r>
      <w:r w:rsidDel="00000000" w:rsidR="00000000" w:rsidRPr="00000000">
        <w:rPr>
          <w:color w:val="666666"/>
          <w:highlight w:val="white"/>
          <w:u w:val="single"/>
          <w:rtl w:val="0"/>
        </w:rPr>
        <w:t xml:space="preserve">Theory of Decision under Uncertainty</w:t>
      </w:r>
      <w:r w:rsidDel="00000000" w:rsidR="00000000" w:rsidRPr="00000000">
        <w:rPr>
          <w:color w:val="666666"/>
          <w:highlight w:val="white"/>
          <w:rtl w:val="0"/>
        </w:rPr>
        <w:t xml:space="preserve">.  Cambridge University Press, 2009.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666666"/>
          <w:highlight w:val="white"/>
          <w:rtl w:val="0"/>
        </w:rPr>
        <w:t xml:space="preserve">Gilboa, I., </w:t>
      </w:r>
      <w:r w:rsidDel="00000000" w:rsidR="00000000" w:rsidRPr="00000000">
        <w:rPr>
          <w:color w:val="666666"/>
          <w:highlight w:val="white"/>
          <w:u w:val="single"/>
          <w:rtl w:val="0"/>
        </w:rPr>
        <w:t xml:space="preserve">Rational Choice</w:t>
      </w:r>
      <w:r w:rsidDel="00000000" w:rsidR="00000000" w:rsidRPr="00000000">
        <w:rPr>
          <w:color w:val="666666"/>
          <w:highlight w:val="white"/>
          <w:rtl w:val="0"/>
        </w:rPr>
        <w:t xml:space="preserve">.  MIT Press, 2010.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https://web.stanford.edu/~jdlevin/Econ%20202/Choice%20Theory.pdf</w:t>
        </w:r>
      </w:hyperlink>
    </w:p>
    <w:p w:rsidR="00000000" w:rsidDel="00000000" w:rsidP="00000000" w:rsidRDefault="00000000" w:rsidRPr="00000000">
      <w:pPr>
        <w:contextualSpacing w:val="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https://hbr.org/2009/07/the-end-of-rational-economics</w:t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Normative Approch: Use-cases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highlight w:val="white"/>
          <w:rtl w:val="0"/>
        </w:rPr>
        <w:t xml:space="preserve">Pita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James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et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al</w:t>
      </w:r>
      <w:r w:rsidDel="00000000" w:rsidR="00000000" w:rsidRPr="00000000">
        <w:rPr>
          <w:highlight w:val="white"/>
          <w:rtl w:val="0"/>
        </w:rPr>
        <w:t xml:space="preserve">. "</w:t>
      </w:r>
      <w:r w:rsidDel="00000000" w:rsidR="00000000" w:rsidRPr="00000000">
        <w:rPr>
          <w:highlight w:val="white"/>
          <w:rtl w:val="0"/>
        </w:rPr>
        <w:t xml:space="preserve">Deployed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ARMOR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protection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the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application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of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game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theoretic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model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for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security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the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Los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Angeles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International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Airport</w:t>
      </w:r>
      <w:r w:rsidDel="00000000" w:rsidR="00000000" w:rsidRPr="00000000">
        <w:rPr>
          <w:highlight w:val="white"/>
          <w:rtl w:val="0"/>
        </w:rPr>
        <w:t xml:space="preserve">.“, 2008.‏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highlight w:val="white"/>
          <w:rtl w:val="0"/>
        </w:rPr>
        <w:t xml:space="preserve">Nguyen et al. Analyzing the Effectiveness of Adversary Modeling in Security Games, 2013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Kar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Debarun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et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al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game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of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thrones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when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human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behavior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models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compete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in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repeated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Stackelberg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security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games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., 2015.‏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A. Rosenfeld, I. Zuckerman, E. Segal-Halevi, O. Drein and S. Kraus. NegoChat-A: a chat-based negotiation agent with bounded rationality, Journal of Autonomous Agents and Multi-Agent Systems, 30(1), 60-8,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G. Haim, Y. Gal, S. Kraus and B. An. Human-Computer Negotiation in Three-Player Market Settings. ECAI 2014</w:t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both"/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Galit Haim, Yakov Gal, Sarit Kraus, M. Gelfand, A Cultural Sensitive Agent for Human-Computer Negotiation. Proc. of AAMAS 2012.</w:t>
      </w:r>
    </w:p>
    <w:p w:rsidR="00000000" w:rsidDel="00000000" w:rsidP="00000000" w:rsidRDefault="00000000" w:rsidRPr="00000000">
      <w:pPr>
        <w:spacing w:after="220" w:before="220" w:lineRule="auto"/>
        <w:contextualSpacing w:val="0"/>
        <w:jc w:val="both"/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Ya'akov Gal, Sarit Kraus, Michele Gelfand, Hilal Khashan and Elizabeth Salmon. Negotiating with People across Cultures using an Adaptive Agent, ACM Transactions on Intelligent Systems and Technology, 3(1), 2011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S. Kraus, P. Hoz-Weiss, J. Wilkenfeld, David R. Andersen and Amy Pate. Resolving crises through automated bilateral negotiations, Artificial Intelligence journal, 172(1):1-18, 2008.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Moshe Bitan, Galit Nahari, Zvi Nisin, Ariel Roth, Sarit Kraus. Psychologically based Virtual-Suspect  For interogative Interview Training,  AAAI 2017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Hajaj et al. Enhancing comparison shopping agents through ordering and gradual information disclosure, JAAMAS 2017.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Sarne et al. Improving Comparison Shopping Agents’ Competence through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Selective Price Disclosure, Electronic Commerce Research and Applications 2015.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Tal et al. A Study of Human Behavior in Online Voting, AAMAS 2015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sz w:val="36"/>
          <w:szCs w:val="36"/>
          <w:highlight w:val="white"/>
          <w:rtl w:val="0"/>
        </w:rPr>
        <w:t xml:space="preserve">Descriptive Prediction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Modeling and Understanding Human Routine Behavior, Banovic et al.  (2016)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Ajzen, Icek.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Attitudes, personality, and behavior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McGraw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-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Hill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Education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UK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), 2005.‏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Jason Hartford, James R. Wright, and Kevin Leyton-Brown. Deep Learning for Human Strategic Modeling, NIPS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Glorot, Xavier, and Yoshua Bengio. "Understanding the difficulty of training deep feedforward neural networks."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Aistats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Vol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9. 2010.‏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Bengio, Yoshua. "Practical recommendations for gradient-based training of deep architectures."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Neural networks: Tricks of the trade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Springer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Berlin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Heidelberg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2012. 437-478.‏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Ariel Rosenfeld and Sarit Kraus, Strategical Argumentative Agent for Human Persuasion, ECAI 2016.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Rosenfeld and Kraus-  Providing Arguments in Discussions Based on the Prediction of Human (AAAI-15)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Xia, Peng, et al. "Reciprocal recommendation system for online dating."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Advances in Social Networks Analysis and Mining 2015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ACM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2015.‏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Brown, Rebecca, and Curry Guinn. "Developing game-playing agents that adapt to user strategies: A case study."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IEEE Symposium on Intelligent Agents (IA), 2014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Phua, Clifton, et al. "A comprehensive survey of data mining-based fraud detection research."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arXiv preprint arXiv:1009.6119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(2010).‏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Fawcett, Tom, and Foster Provost. "Adaptive fraud detection."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Data mining and knowledge discovery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1.3 (1997): 291-316.‏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Kandias, Miltiadis, et al. "An insider threat prediction model."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International Conference on Trust, Privacy and Security in Digital Business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Springer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Berlin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Heidelberg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2010.‏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Ziv Epstein, Alex Peysakhovich and Dave Rand. The Good, the Bad, and the Unflinchingly Selfish: Cooperative Decision-Making can be Predicted with high Accuracy when using only Three Behavioral Types,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Noti, Gali, et al. "Behavior-Based Machine-Learning: A Hybrid Approach for Predicting Human Decision Making."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arXiv preprint arXiv:1611.10228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(2016).‏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Rosenfeld, Avi, et al. "Combining psychological models with machine learning to better predict people’s decisions."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Synthese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189.1 (2012): 81-93.‏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Erev et al. From anomalies to forecasts</w:t>
      </w:r>
      <w:r w:rsidDel="00000000" w:rsidR="00000000" w:rsidRPr="00000000">
        <w:rPr>
          <w:sz w:val="32"/>
          <w:szCs w:val="32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Toward a descriptive model of decisions under risk, under ambiguity, and from experience, Psychological Review, 2017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ri Plonsky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Ido Erev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Tamir Hazan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and Moshe Tennenholtz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. </w:t>
      </w:r>
      <w:r w:rsidDel="00000000" w:rsidR="00000000" w:rsidRPr="00000000">
        <w:rPr>
          <w:sz w:val="29"/>
          <w:szCs w:val="29"/>
          <w:highlight w:val="white"/>
          <w:rtl w:val="0"/>
        </w:rPr>
        <w:t xml:space="preserve">Psychological Forest: Predicting Human Behavior, AAAI 2017.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9"/>
          <w:szCs w:val="29"/>
          <w:highlight w:val="white"/>
          <w:rtl w:val="0"/>
        </w:rPr>
        <w:t xml:space="preserve">Rosenfeld et al. Adaptive Advice in Automobile Climate Control Systems, AAMAS 2015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9"/>
          <w:szCs w:val="29"/>
          <w:highlight w:val="white"/>
          <w:rtl w:val="0"/>
        </w:rPr>
        <w:t xml:space="preserve">Ariel Rosenfeld and Sarit Kraus, Strategical Argumentative Agent for Human Persuasion ECAI 2016.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9"/>
          <w:szCs w:val="29"/>
          <w:highlight w:val="white"/>
          <w:rtl w:val="0"/>
        </w:rPr>
        <w:t xml:space="preserve">Rosenfeld et al. Intelligent Agent Supporting Human-Multi-Robot Team Collaboration, IJCAI 2015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9"/>
          <w:szCs w:val="29"/>
          <w:highlight w:val="white"/>
          <w:rtl w:val="0"/>
        </w:rPr>
        <w:t xml:space="preserve">Rosenfeld et al. Online Prediction of Exponential Decay Time Series with Human-Agent Application, ECAI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9"/>
          <w:szCs w:val="29"/>
          <w:highlight w:val="white"/>
          <w:rtl w:val="0"/>
        </w:rPr>
        <w:t xml:space="preserve">Tanvi Verma, Pradeep Varakantham, Sarit Kraus and Hoong Chuin Lau In Proceedings of the International Conference on Automated Planning and Scheduling, ICAPS-17.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9"/>
          <w:szCs w:val="29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999999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Albrecht, Utilising Policy Types for Effective Ad Hoc Coordination in Multiagent Systems, 2015.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Domingos et al., Reactive Versus Anticipative Decision Making in a Novel Gift-Giving Game, AAAI 2017.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Behavior-Based Machine-Learning: A Hybrid Approach </w:t>
      </w:r>
      <w:r w:rsidDel="00000000" w:rsidR="00000000" w:rsidRPr="00000000">
        <w:rPr>
          <w:highlight w:val="white"/>
          <w:rtl w:val="0"/>
        </w:rPr>
        <w:t xml:space="preserve">for Predicting Human Decision Making</w:t>
      </w:r>
      <w:r w:rsidDel="00000000" w:rsidR="00000000" w:rsidRPr="00000000">
        <w:rPr>
          <w:b w:val="1"/>
          <w:color w:val="999999"/>
          <w:highlight w:val="white"/>
          <w:rtl w:val="0"/>
        </w:rPr>
        <w:t xml:space="preserve">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999999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pr.cs.cornell.edu/anticipation/" TargetMode="External"/><Relationship Id="rId10" Type="http://schemas.openxmlformats.org/officeDocument/2006/relationships/hyperlink" Target="http://pr.cs.cornell.edu/anticipation/" TargetMode="External"/><Relationship Id="rId13" Type="http://schemas.openxmlformats.org/officeDocument/2006/relationships/hyperlink" Target="http://pr.cs.cornell.edu/anticipation/anticipation_ICML_2013.pdf" TargetMode="External"/><Relationship Id="rId12" Type="http://schemas.openxmlformats.org/officeDocument/2006/relationships/hyperlink" Target="http://pr.cs.cornell.edu/anticipation/anticipation_ICML_2013.pdf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inquiriesjournal.com/keyword/marketing" TargetMode="External"/><Relationship Id="rId15" Type="http://schemas.openxmlformats.org/officeDocument/2006/relationships/hyperlink" Target="https://web.stanford.edu/~jdlevin/Econ%20202/Choice%20Theory.pdf" TargetMode="External"/><Relationship Id="rId14" Type="http://schemas.openxmlformats.org/officeDocument/2006/relationships/hyperlink" Target="http://www.techrepublic.com/article/ai-just-beat-the-worlds-4-best-poker-players-what-it-means/" TargetMode="External"/><Relationship Id="rId16" Type="http://schemas.openxmlformats.org/officeDocument/2006/relationships/hyperlink" Target="https://hbr.org/2009/07/the-end-of-rational-economics" TargetMode="External"/><Relationship Id="rId5" Type="http://schemas.openxmlformats.org/officeDocument/2006/relationships/hyperlink" Target="https://sites.google.com/view/predicting-human-dm" TargetMode="External"/><Relationship Id="rId6" Type="http://schemas.openxmlformats.org/officeDocument/2006/relationships/hyperlink" Target="mailto:arielros1@gmail.com" TargetMode="External"/><Relationship Id="rId7" Type="http://schemas.openxmlformats.org/officeDocument/2006/relationships/hyperlink" Target="http://www.inquiriesjournal.com/keyword/conflict" TargetMode="External"/><Relationship Id="rId8" Type="http://schemas.openxmlformats.org/officeDocument/2006/relationships/hyperlink" Target="http://www.inquiriesjournal.com/keyword/education" TargetMode="External"/></Relationships>
</file>